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bookmarkStart w:colFirst="0" w:colLast="0" w:name="_heading=h.gjdgxs" w:id="0"/>
      <w:bookmarkEnd w:id="0"/>
      <w:r w:rsidDel="00000000" w:rsidR="00000000" w:rsidRPr="00000000">
        <w:rPr>
          <w:rtl w:val="0"/>
        </w:rPr>
        <w:t xml:space="preserve">※ 本文書は、電子帳簿保存法のスキャナ保存/電子取引に係る「事務の手続を明らかにした書類」のサンプルです。</w:t>
      </w:r>
      <w:hyperlink r:id="rId7">
        <w:r w:rsidDel="00000000" w:rsidR="00000000" w:rsidRPr="00000000">
          <w:rPr>
            <w:color w:val="1155cc"/>
            <w:u w:val="single"/>
            <w:rtl w:val="0"/>
          </w:rPr>
          <w:t xml:space="preserve">国税庁のサンプル</w:t>
        </w:r>
      </w:hyperlink>
      <w:r w:rsidDel="00000000" w:rsidR="00000000" w:rsidRPr="00000000">
        <w:rPr>
          <w:rtl w:val="0"/>
        </w:rPr>
        <w:t xml:space="preserve">をベースにしています。「事務の処理を定めた規程」のサンプルと組み合わせてご利用ください。</w:t>
      </w:r>
    </w:p>
    <w:p w:rsidR="00000000" w:rsidDel="00000000" w:rsidP="00000000" w:rsidRDefault="00000000" w:rsidRPr="00000000" w14:paraId="00000002">
      <w:pPr>
        <w:jc w:val="left"/>
        <w:rPr/>
      </w:pPr>
      <w:bookmarkStart w:colFirst="0" w:colLast="0" w:name="_heading=h.3n74c0gfk9x9" w:id="1"/>
      <w:bookmarkEnd w:id="1"/>
      <w:r w:rsidDel="00000000" w:rsidR="00000000" w:rsidRPr="00000000">
        <w:rPr>
          <w:rtl w:val="0"/>
        </w:rPr>
      </w:r>
    </w:p>
    <w:p w:rsidR="00000000" w:rsidDel="00000000" w:rsidP="00000000" w:rsidRDefault="00000000" w:rsidRPr="00000000" w14:paraId="00000003">
      <w:pPr>
        <w:jc w:val="left"/>
        <w:rPr/>
      </w:pPr>
      <w:bookmarkStart w:colFirst="0" w:colLast="0" w:name="_heading=h.2i4ls9qqcevk" w:id="2"/>
      <w:bookmarkEnd w:id="2"/>
      <w:r w:rsidDel="00000000" w:rsidR="00000000" w:rsidRPr="00000000">
        <w:rPr>
          <w:highlight w:val="yellow"/>
          <w:rtl w:val="0"/>
        </w:rPr>
        <w:t xml:space="preserve">マークアップ部分</w:t>
      </w:r>
      <w:r w:rsidDel="00000000" w:rsidR="00000000" w:rsidRPr="00000000">
        <w:rPr>
          <w:rtl w:val="0"/>
        </w:rPr>
        <w:t xml:space="preserve">は</w:t>
      </w:r>
      <w:r w:rsidDel="00000000" w:rsidR="00000000" w:rsidRPr="00000000">
        <w:rPr>
          <w:rtl w:val="0"/>
        </w:rPr>
        <w:t xml:space="preserve">特に変更が必要な点ですが、利用企業の実態に合わせ内容は変更して用いてください。</w:t>
      </w:r>
    </w:p>
    <w:p w:rsidR="00000000" w:rsidDel="00000000" w:rsidP="00000000" w:rsidRDefault="00000000" w:rsidRPr="00000000" w14:paraId="00000004">
      <w:pPr>
        <w:jc w:val="left"/>
        <w:rPr/>
      </w:pPr>
      <w:bookmarkStart w:colFirst="0" w:colLast="0" w:name="_heading=h.dkrzfn8jjaxh" w:id="3"/>
      <w:bookmarkEnd w:id="3"/>
      <w:r w:rsidDel="00000000" w:rsidR="00000000" w:rsidRPr="00000000">
        <w:rPr>
          <w:rtl w:val="0"/>
        </w:rPr>
      </w:r>
    </w:p>
    <w:p w:rsidR="00000000" w:rsidDel="00000000" w:rsidP="00000000" w:rsidRDefault="00000000" w:rsidRPr="00000000" w14:paraId="00000005">
      <w:pPr>
        <w:jc w:val="left"/>
        <w:rPr/>
      </w:pPr>
      <w:bookmarkStart w:colFirst="0" w:colLast="0" w:name="_heading=h.p9r5vjdsatm"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left"/>
        <w:rPr/>
      </w:pPr>
      <w:bookmarkStart w:colFirst="0" w:colLast="0" w:name="_heading=h.uiqd2kmba7pe" w:id="5"/>
      <w:bookmarkEnd w:id="5"/>
      <w:r w:rsidDel="00000000" w:rsidR="00000000" w:rsidRPr="00000000">
        <w:rPr>
          <w:rtl w:val="0"/>
        </w:rPr>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電子帳簿保存法事務手続き細則</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（目的）</w:t>
      </w:r>
    </w:p>
    <w:p w:rsidR="00000000" w:rsidDel="00000000" w:rsidP="00000000" w:rsidRDefault="00000000" w:rsidRPr="00000000" w14:paraId="0000000B">
      <w:pPr>
        <w:rPr/>
      </w:pPr>
      <w:r w:rsidDel="00000000" w:rsidR="00000000" w:rsidRPr="00000000">
        <w:rPr>
          <w:rtl w:val="0"/>
        </w:rPr>
        <w:t xml:space="preserve">１　本細則は、「</w:t>
      </w:r>
      <w:r w:rsidDel="00000000" w:rsidR="00000000" w:rsidRPr="00000000">
        <w:rPr>
          <w:highlight w:val="yellow"/>
          <w:rtl w:val="0"/>
        </w:rPr>
        <w:t xml:space="preserve">国税関係帳簿書類のスキャン及び電子取引情報の保存規程</w:t>
      </w:r>
      <w:r w:rsidDel="00000000" w:rsidR="00000000" w:rsidRPr="00000000">
        <w:rPr>
          <w:rtl w:val="0"/>
        </w:rPr>
        <w:t xml:space="preserve">」に基づき、電子帳簿保存法に対応して紙文書を電子化した文書データ及び電子取引の取引情報データ（以下「保存データ」という）を保存する事務手続きを定めることを目的とする。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（スキャナ保存の対象）</w:t>
      </w:r>
    </w:p>
    <w:p w:rsidR="00000000" w:rsidDel="00000000" w:rsidP="00000000" w:rsidRDefault="00000000" w:rsidRPr="00000000" w14:paraId="0000000E">
      <w:pPr>
        <w:rPr/>
      </w:pPr>
      <w:r w:rsidDel="00000000" w:rsidR="00000000" w:rsidRPr="00000000">
        <w:rPr>
          <w:rtl w:val="0"/>
        </w:rPr>
        <w:t xml:space="preserve">２　紙文書を電子化した文書データ（以下「スキャンデータ」という）として保存する国税関係帳簿書類は次の通りとする。</w:t>
      </w:r>
    </w:p>
    <w:p w:rsidR="00000000" w:rsidDel="00000000" w:rsidP="00000000" w:rsidRDefault="00000000" w:rsidRPr="00000000" w14:paraId="0000000F">
      <w:pPr>
        <w:numPr>
          <w:ilvl w:val="0"/>
          <w:numId w:val="2"/>
        </w:numPr>
        <w:ind w:left="720" w:hanging="360"/>
        <w:rPr>
          <w:highlight w:val="yellow"/>
        </w:rPr>
      </w:pPr>
      <w:r w:rsidDel="00000000" w:rsidR="00000000" w:rsidRPr="00000000">
        <w:rPr>
          <w:highlight w:val="yellow"/>
          <w:rtl w:val="0"/>
        </w:rPr>
        <w:t xml:space="preserve">注文書</w:t>
      </w:r>
    </w:p>
    <w:p w:rsidR="00000000" w:rsidDel="00000000" w:rsidP="00000000" w:rsidRDefault="00000000" w:rsidRPr="00000000" w14:paraId="00000010">
      <w:pPr>
        <w:numPr>
          <w:ilvl w:val="0"/>
          <w:numId w:val="2"/>
        </w:numPr>
        <w:ind w:left="720" w:hanging="360"/>
        <w:rPr>
          <w:highlight w:val="yellow"/>
        </w:rPr>
      </w:pPr>
      <w:r w:rsidDel="00000000" w:rsidR="00000000" w:rsidRPr="00000000">
        <w:rPr>
          <w:highlight w:val="yellow"/>
          <w:rtl w:val="0"/>
        </w:rPr>
        <w:t xml:space="preserve">領収書</w:t>
      </w:r>
    </w:p>
    <w:p w:rsidR="00000000" w:rsidDel="00000000" w:rsidP="00000000" w:rsidRDefault="00000000" w:rsidRPr="00000000" w14:paraId="00000011">
      <w:pPr>
        <w:numPr>
          <w:ilvl w:val="0"/>
          <w:numId w:val="2"/>
        </w:numPr>
        <w:ind w:left="720" w:hanging="360"/>
        <w:rPr>
          <w:highlight w:val="yellow"/>
        </w:rPr>
      </w:pPr>
      <w:r w:rsidDel="00000000" w:rsidR="00000000" w:rsidRPr="00000000">
        <w:rPr>
          <w:highlight w:val="yellow"/>
          <w:rtl w:val="0"/>
        </w:rPr>
        <w:t xml:space="preserve">見積書</w:t>
      </w:r>
    </w:p>
    <w:p w:rsidR="00000000" w:rsidDel="00000000" w:rsidP="00000000" w:rsidRDefault="00000000" w:rsidRPr="00000000" w14:paraId="00000012">
      <w:pPr>
        <w:numPr>
          <w:ilvl w:val="0"/>
          <w:numId w:val="2"/>
        </w:numPr>
        <w:ind w:left="720" w:hanging="360"/>
        <w:rPr>
          <w:highlight w:val="yellow"/>
        </w:rPr>
      </w:pPr>
      <w:r w:rsidDel="00000000" w:rsidR="00000000" w:rsidRPr="00000000">
        <w:rPr>
          <w:highlight w:val="yellow"/>
          <w:rtl w:val="0"/>
        </w:rPr>
        <w:t xml:space="preserve">請求書</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（電子取引の対象）</w:t>
      </w:r>
    </w:p>
    <w:p w:rsidR="00000000" w:rsidDel="00000000" w:rsidP="00000000" w:rsidRDefault="00000000" w:rsidRPr="00000000" w14:paraId="00000015">
      <w:pPr>
        <w:rPr/>
      </w:pPr>
      <w:r w:rsidDel="00000000" w:rsidR="00000000" w:rsidRPr="00000000">
        <w:rPr>
          <w:rtl w:val="0"/>
        </w:rPr>
        <w:t xml:space="preserve">３　電子取引の取引情報データ（以下「電子取引データ」という）として保存する国税関係帳簿書類は次の通りとする。</w:t>
      </w:r>
    </w:p>
    <w:p w:rsidR="00000000" w:rsidDel="00000000" w:rsidP="00000000" w:rsidRDefault="00000000" w:rsidRPr="00000000" w14:paraId="00000016">
      <w:pPr>
        <w:numPr>
          <w:ilvl w:val="0"/>
          <w:numId w:val="1"/>
        </w:numPr>
        <w:ind w:left="720" w:hanging="360"/>
        <w:rPr>
          <w:highlight w:val="yellow"/>
        </w:rPr>
      </w:pPr>
      <w:r w:rsidDel="00000000" w:rsidR="00000000" w:rsidRPr="00000000">
        <w:rPr>
          <w:highlight w:val="yellow"/>
          <w:rtl w:val="0"/>
        </w:rPr>
        <w:t xml:space="preserve">注文書</w:t>
      </w:r>
    </w:p>
    <w:p w:rsidR="00000000" w:rsidDel="00000000" w:rsidP="00000000" w:rsidRDefault="00000000" w:rsidRPr="00000000" w14:paraId="00000017">
      <w:pPr>
        <w:numPr>
          <w:ilvl w:val="0"/>
          <w:numId w:val="1"/>
        </w:numPr>
        <w:ind w:left="720" w:hanging="360"/>
        <w:rPr>
          <w:highlight w:val="yellow"/>
        </w:rPr>
      </w:pPr>
      <w:r w:rsidDel="00000000" w:rsidR="00000000" w:rsidRPr="00000000">
        <w:rPr>
          <w:highlight w:val="yellow"/>
          <w:rtl w:val="0"/>
        </w:rPr>
        <w:t xml:space="preserve">契約書</w:t>
      </w:r>
    </w:p>
    <w:p w:rsidR="00000000" w:rsidDel="00000000" w:rsidP="00000000" w:rsidRDefault="00000000" w:rsidRPr="00000000" w14:paraId="00000018">
      <w:pPr>
        <w:numPr>
          <w:ilvl w:val="0"/>
          <w:numId w:val="1"/>
        </w:numPr>
        <w:ind w:left="720" w:hanging="360"/>
        <w:rPr>
          <w:highlight w:val="yellow"/>
        </w:rPr>
      </w:pPr>
      <w:r w:rsidDel="00000000" w:rsidR="00000000" w:rsidRPr="00000000">
        <w:rPr>
          <w:highlight w:val="yellow"/>
          <w:rtl w:val="0"/>
        </w:rPr>
        <w:t xml:space="preserve">領収書</w:t>
      </w:r>
    </w:p>
    <w:p w:rsidR="00000000" w:rsidDel="00000000" w:rsidP="00000000" w:rsidRDefault="00000000" w:rsidRPr="00000000" w14:paraId="00000019">
      <w:pPr>
        <w:numPr>
          <w:ilvl w:val="0"/>
          <w:numId w:val="1"/>
        </w:numPr>
        <w:ind w:left="720" w:hanging="360"/>
        <w:rPr>
          <w:highlight w:val="yellow"/>
        </w:rPr>
      </w:pPr>
      <w:r w:rsidDel="00000000" w:rsidR="00000000" w:rsidRPr="00000000">
        <w:rPr>
          <w:highlight w:val="yellow"/>
          <w:rtl w:val="0"/>
        </w:rPr>
        <w:t xml:space="preserve">見積書</w:t>
      </w:r>
    </w:p>
    <w:p w:rsidR="00000000" w:rsidDel="00000000" w:rsidP="00000000" w:rsidRDefault="00000000" w:rsidRPr="00000000" w14:paraId="0000001A">
      <w:pPr>
        <w:numPr>
          <w:ilvl w:val="0"/>
          <w:numId w:val="1"/>
        </w:numPr>
        <w:ind w:left="720" w:hanging="360"/>
        <w:rPr>
          <w:highlight w:val="yellow"/>
        </w:rPr>
      </w:pPr>
      <w:r w:rsidDel="00000000" w:rsidR="00000000" w:rsidRPr="00000000">
        <w:rPr>
          <w:highlight w:val="yellow"/>
          <w:rtl w:val="0"/>
        </w:rPr>
        <w:t xml:space="preserve">請求書</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（電子帳簿保存の保存方法）</w:t>
      </w:r>
    </w:p>
    <w:p w:rsidR="00000000" w:rsidDel="00000000" w:rsidP="00000000" w:rsidRDefault="00000000" w:rsidRPr="00000000" w14:paraId="0000001D">
      <w:pPr>
        <w:rPr/>
      </w:pPr>
      <w:r w:rsidDel="00000000" w:rsidR="00000000" w:rsidRPr="00000000">
        <w:rPr>
          <w:rtl w:val="0"/>
        </w:rPr>
        <w:t xml:space="preserve">４　別紙1「分野別の電子帳簿保存システム」に定める管理システム（以下「本システム」という）の証憑・書類管理機能を用いることで保存を実施する。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（書類の受領）</w:t>
      </w:r>
    </w:p>
    <w:p w:rsidR="00000000" w:rsidDel="00000000" w:rsidP="00000000" w:rsidRDefault="00000000" w:rsidRPr="00000000" w14:paraId="00000020">
      <w:pPr>
        <w:rPr/>
      </w:pPr>
      <w:r w:rsidDel="00000000" w:rsidR="00000000" w:rsidRPr="00000000">
        <w:rPr>
          <w:rtl w:val="0"/>
        </w:rPr>
        <w:t xml:space="preserve">５　各部門の作業担当者は、作成または受領した保存対象の書類について、次のいずれかの手法で経理部門に引き継ぐ。</w:t>
      </w:r>
    </w:p>
    <w:p w:rsidR="00000000" w:rsidDel="00000000" w:rsidP="00000000" w:rsidRDefault="00000000" w:rsidRPr="00000000" w14:paraId="00000021">
      <w:pPr>
        <w:rPr/>
      </w:pPr>
      <w:r w:rsidDel="00000000" w:rsidR="00000000" w:rsidRPr="00000000">
        <w:rPr>
          <w:rtl w:val="0"/>
        </w:rPr>
        <w:t xml:space="preserve">⑴　本システムへの保存データのアップロード、入力</w:t>
      </w:r>
    </w:p>
    <w:p w:rsidR="00000000" w:rsidDel="00000000" w:rsidP="00000000" w:rsidRDefault="00000000" w:rsidRPr="00000000" w14:paraId="00000022">
      <w:pPr>
        <w:rPr/>
      </w:pPr>
      <w:r w:rsidDel="00000000" w:rsidR="00000000" w:rsidRPr="00000000">
        <w:rPr>
          <w:rtl w:val="0"/>
        </w:rPr>
        <w:t xml:space="preserve">⑵　紙原本の窓口部門への提出（経理部門が別途定める種の書類のみ）</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（スキャン・入力の時期）</w:t>
      </w:r>
    </w:p>
    <w:p w:rsidR="00000000" w:rsidDel="00000000" w:rsidP="00000000" w:rsidRDefault="00000000" w:rsidRPr="00000000" w14:paraId="00000025">
      <w:pPr>
        <w:rPr/>
      </w:pPr>
      <w:r w:rsidDel="00000000" w:rsidR="00000000" w:rsidRPr="00000000">
        <w:rPr>
          <w:rtl w:val="0"/>
        </w:rPr>
        <w:t xml:space="preserve">６　作業担当者は、次の期日までにスキャニング及び本システムへの入力を行う。なお、スキャンを実施後、経理部門が別途定める原本保持期間の間は原本を破棄せず保管するものとする。</w:t>
      </w:r>
    </w:p>
    <w:p w:rsidR="00000000" w:rsidDel="00000000" w:rsidP="00000000" w:rsidRDefault="00000000" w:rsidRPr="00000000" w14:paraId="00000026">
      <w:pPr>
        <w:numPr>
          <w:ilvl w:val="0"/>
          <w:numId w:val="3"/>
        </w:numPr>
        <w:ind w:left="780" w:hanging="360"/>
        <w:rPr>
          <w:highlight w:val="yellow"/>
        </w:rPr>
      </w:pPr>
      <w:r w:rsidDel="00000000" w:rsidR="00000000" w:rsidRPr="00000000">
        <w:rPr>
          <w:highlight w:val="yellow"/>
          <w:rtl w:val="0"/>
        </w:rPr>
        <w:t xml:space="preserve">注文書　　　１月から６月までに受領したものは７月末</w:t>
      </w:r>
    </w:p>
    <w:p w:rsidR="00000000" w:rsidDel="00000000" w:rsidP="00000000" w:rsidRDefault="00000000" w:rsidRPr="00000000" w14:paraId="00000027">
      <w:pPr>
        <w:ind w:left="2160" w:firstLine="0"/>
        <w:rPr>
          <w:highlight w:val="yellow"/>
        </w:rPr>
      </w:pPr>
      <w:r w:rsidDel="00000000" w:rsidR="00000000" w:rsidRPr="00000000">
        <w:rPr>
          <w:highlight w:val="yellow"/>
          <w:rtl w:val="0"/>
        </w:rPr>
        <w:t xml:space="preserve">７月から12月までに受領したものは翌年１月末</w:t>
      </w:r>
    </w:p>
    <w:p w:rsidR="00000000" w:rsidDel="00000000" w:rsidP="00000000" w:rsidRDefault="00000000" w:rsidRPr="00000000" w14:paraId="00000028">
      <w:pPr>
        <w:numPr>
          <w:ilvl w:val="0"/>
          <w:numId w:val="3"/>
        </w:numPr>
        <w:ind w:left="780" w:hanging="360"/>
        <w:rPr>
          <w:highlight w:val="yellow"/>
        </w:rPr>
      </w:pPr>
      <w:r w:rsidDel="00000000" w:rsidR="00000000" w:rsidRPr="00000000">
        <w:rPr>
          <w:highlight w:val="yellow"/>
          <w:rtl w:val="0"/>
        </w:rPr>
        <w:t xml:space="preserve">領収書　　　毎月末までに受領したものを、翌月７日まで</w:t>
      </w:r>
    </w:p>
    <w:p w:rsidR="00000000" w:rsidDel="00000000" w:rsidP="00000000" w:rsidRDefault="00000000" w:rsidRPr="00000000" w14:paraId="00000029">
      <w:pPr>
        <w:numPr>
          <w:ilvl w:val="0"/>
          <w:numId w:val="3"/>
        </w:numPr>
        <w:ind w:left="780" w:hanging="360"/>
        <w:rPr>
          <w:highlight w:val="yellow"/>
        </w:rPr>
      </w:pPr>
      <w:r w:rsidDel="00000000" w:rsidR="00000000" w:rsidRPr="00000000">
        <w:rPr>
          <w:highlight w:val="yellow"/>
          <w:rtl w:val="0"/>
        </w:rPr>
        <w:t xml:space="preserve">見積書　　　　１月から６月までに受領したものは７月末</w:t>
      </w:r>
    </w:p>
    <w:p w:rsidR="00000000" w:rsidDel="00000000" w:rsidP="00000000" w:rsidRDefault="00000000" w:rsidRPr="00000000" w14:paraId="0000002A">
      <w:pPr>
        <w:ind w:left="2160" w:firstLine="0"/>
        <w:rPr>
          <w:highlight w:val="yellow"/>
        </w:rPr>
      </w:pPr>
      <w:r w:rsidDel="00000000" w:rsidR="00000000" w:rsidRPr="00000000">
        <w:rPr>
          <w:highlight w:val="yellow"/>
          <w:rtl w:val="0"/>
        </w:rPr>
        <w:t xml:space="preserve">７月から12月までに受領したものは翌年１月末</w:t>
      </w:r>
    </w:p>
    <w:p w:rsidR="00000000" w:rsidDel="00000000" w:rsidP="00000000" w:rsidRDefault="00000000" w:rsidRPr="00000000" w14:paraId="0000002B">
      <w:pPr>
        <w:numPr>
          <w:ilvl w:val="0"/>
          <w:numId w:val="3"/>
        </w:numPr>
        <w:ind w:left="780" w:hanging="360"/>
        <w:rPr>
          <w:highlight w:val="yellow"/>
        </w:rPr>
      </w:pPr>
      <w:r w:rsidDel="00000000" w:rsidR="00000000" w:rsidRPr="00000000">
        <w:rPr>
          <w:highlight w:val="yellow"/>
          <w:rtl w:val="0"/>
        </w:rPr>
        <w:t xml:space="preserve">請求書　　　　速やか（おおむね７営業日以内）に</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（スキャニング処理）</w:t>
      </w:r>
    </w:p>
    <w:p w:rsidR="00000000" w:rsidDel="00000000" w:rsidP="00000000" w:rsidRDefault="00000000" w:rsidRPr="00000000" w14:paraId="0000002E">
      <w:pPr>
        <w:rPr/>
      </w:pPr>
      <w:r w:rsidDel="00000000" w:rsidR="00000000" w:rsidRPr="00000000">
        <w:rPr>
          <w:rtl w:val="0"/>
        </w:rPr>
        <w:t xml:space="preserve">７　作業担当者は、「国税関係帳簿書類のスキャン及び電子取引情報の保存規程」に定める入力装置を利用し、スキャニング処理を実施する。</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（経理部門の確認）</w:t>
      </w:r>
    </w:p>
    <w:p w:rsidR="00000000" w:rsidDel="00000000" w:rsidP="00000000" w:rsidRDefault="00000000" w:rsidRPr="00000000" w14:paraId="00000031">
      <w:pPr>
        <w:rPr/>
      </w:pPr>
      <w:r w:rsidDel="00000000" w:rsidR="00000000" w:rsidRPr="00000000">
        <w:rPr>
          <w:rtl w:val="0"/>
        </w:rPr>
        <w:t xml:space="preserve">８　作業担当者は、正確にスキャニングされていることを確認した後に、画像（電子化文書）及び記録事項を本システムに提出し、経理部門にこれを引き継ぐ。経理部門は電子化文書と記録事項の確認を速やかに行う。</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（電子化文書の保存）</w:t>
      </w:r>
    </w:p>
    <w:p w:rsidR="00000000" w:rsidDel="00000000" w:rsidP="00000000" w:rsidRDefault="00000000" w:rsidRPr="00000000" w14:paraId="00000034">
      <w:pPr>
        <w:rPr/>
      </w:pPr>
      <w:r w:rsidDel="00000000" w:rsidR="00000000" w:rsidRPr="00000000">
        <w:rPr>
          <w:rtl w:val="0"/>
        </w:rPr>
        <w:t xml:space="preserve">６　本システム上で保存する保存データは、国税に関する法律の規定により保存しなければならないとされている期間まで保存する。</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（改廃）</w:t>
      </w:r>
    </w:p>
    <w:p w:rsidR="00000000" w:rsidDel="00000000" w:rsidP="00000000" w:rsidRDefault="00000000" w:rsidRPr="00000000" w14:paraId="00000037">
      <w:pPr>
        <w:rPr/>
      </w:pPr>
      <w:r w:rsidDel="00000000" w:rsidR="00000000" w:rsidRPr="00000000">
        <w:rPr>
          <w:rtl w:val="0"/>
        </w:rPr>
        <w:t xml:space="preserve">この細則は、</w:t>
      </w:r>
      <w:r w:rsidDel="00000000" w:rsidR="00000000" w:rsidRPr="00000000">
        <w:rPr>
          <w:highlight w:val="yellow"/>
          <w:rtl w:val="0"/>
        </w:rPr>
        <w:t xml:space="preserve">経理部長が立案し、管理本部長が決定する</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電子帳簿保存法の事務手続きに関する細則 別紙1</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sz w:val="28"/>
          <w:szCs w:val="28"/>
          <w:rtl w:val="0"/>
        </w:rPr>
        <w:t xml:space="preserve">分野別の電子帳簿保存システム</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1"/>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500"/>
        <w:gridCol w:w="2730"/>
        <w:gridCol w:w="2865"/>
        <w:tblGridChange w:id="0">
          <w:tblGrid>
            <w:gridCol w:w="1395"/>
            <w:gridCol w:w="1500"/>
            <w:gridCol w:w="2730"/>
            <w:gridCol w:w="2865"/>
          </w:tblGrid>
        </w:tblGridChange>
      </w:tblGrid>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jc w:val="center"/>
              <w:rPr/>
            </w:pPr>
            <w:r w:rsidDel="00000000" w:rsidR="00000000" w:rsidRPr="00000000">
              <w:rPr>
                <w:rtl w:val="0"/>
              </w:rPr>
              <w:t xml:space="preserve">書類</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E">
            <w:pPr>
              <w:jc w:val="center"/>
              <w:rPr/>
            </w:pPr>
            <w:r w:rsidDel="00000000" w:rsidR="00000000" w:rsidRPr="00000000">
              <w:rPr>
                <w:rtl w:val="0"/>
              </w:rPr>
              <w:t xml:space="preserve">発行/受領</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jc w:val="center"/>
              <w:rPr/>
            </w:pPr>
            <w:r w:rsidDel="00000000" w:rsidR="00000000" w:rsidRPr="00000000">
              <w:rPr>
                <w:rtl w:val="0"/>
              </w:rPr>
              <w:t xml:space="preserve">保存データの区分</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center"/>
              <w:rPr/>
            </w:pPr>
            <w:r w:rsidDel="00000000" w:rsidR="00000000" w:rsidRPr="00000000">
              <w:rPr>
                <w:rtl w:val="0"/>
              </w:rPr>
              <w:t xml:space="preserve">スキャナ保存</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pPr>
            <w:r w:rsidDel="00000000" w:rsidR="00000000" w:rsidRPr="00000000">
              <w:rPr>
                <w:rtl w:val="0"/>
              </w:rPr>
              <w:t xml:space="preserve">電子取引</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注文書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pPr>
            <w:r w:rsidDel="00000000" w:rsidR="00000000" w:rsidRPr="00000000">
              <w:rPr>
                <w:rtl w:val="0"/>
              </w:rPr>
              <w:t xml:space="preserve">受領</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highlight w:val="yellow"/>
              </w:rPr>
            </w:pPr>
            <w:r w:rsidDel="00000000" w:rsidR="00000000" w:rsidRPr="00000000">
              <w:rPr>
                <w:highlight w:val="yellow"/>
                <w:rtl w:val="0"/>
              </w:rPr>
              <w:t xml:space="preserve">Salesforce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highlight w:val="yellow"/>
              </w:rPr>
            </w:pPr>
            <w:r w:rsidDel="00000000" w:rsidR="00000000" w:rsidRPr="00000000">
              <w:rPr>
                <w:highlight w:val="yellow"/>
                <w:rtl w:val="0"/>
              </w:rPr>
              <w:t xml:space="preserve">Salesforce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契約書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highlight w:val="yellow"/>
              </w:rPr>
            </w:pPr>
            <w:r w:rsidDel="00000000" w:rsidR="00000000" w:rsidRPr="00000000">
              <w:rPr>
                <w:highlight w:val="yellow"/>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highlight w:val="yellow"/>
              </w:rPr>
            </w:pPr>
            <w:r w:rsidDel="00000000" w:rsidR="00000000" w:rsidRPr="00000000">
              <w:rPr>
                <w:highlight w:val="yellow"/>
                <w:rtl w:val="0"/>
              </w:rPr>
              <w:t xml:space="preserve">◯◯サイン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領収書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rtl w:val="0"/>
              </w:rPr>
              <w:t xml:space="preserve">受領</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highlight w:val="yellow"/>
              </w:rPr>
            </w:pPr>
            <w:r w:rsidDel="00000000" w:rsidR="00000000" w:rsidRPr="00000000">
              <w:rPr>
                <w:highlight w:val="yellow"/>
                <w:rtl w:val="0"/>
              </w:rPr>
              <w:t xml:space="preserve">paild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highlight w:val="yellow"/>
              </w:rPr>
            </w:pPr>
            <w:r w:rsidDel="00000000" w:rsidR="00000000" w:rsidRPr="00000000">
              <w:rPr>
                <w:highlight w:val="yellow"/>
                <w:rtl w:val="0"/>
              </w:rPr>
              <w:t xml:space="preserve">paild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見積書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center"/>
              <w:rPr/>
            </w:pPr>
            <w:r w:rsidDel="00000000" w:rsidR="00000000" w:rsidRPr="00000000">
              <w:rPr>
                <w:rtl w:val="0"/>
              </w:rPr>
              <w:t xml:space="preserve">受領</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highlight w:val="yellow"/>
              </w:rPr>
            </w:pPr>
            <w:r w:rsidDel="00000000" w:rsidR="00000000" w:rsidRPr="00000000">
              <w:rPr>
                <w:highlight w:val="yellow"/>
                <w:rtl w:val="0"/>
              </w:rPr>
              <w:t xml:space="preserve">◯◯ワークフロー</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highlight w:val="yellow"/>
              </w:rPr>
            </w:pPr>
            <w:r w:rsidDel="00000000" w:rsidR="00000000" w:rsidRPr="00000000">
              <w:rPr>
                <w:highlight w:val="yellow"/>
                <w:rtl w:val="0"/>
              </w:rPr>
              <w:t xml:space="preserve">◯◯ワークフロー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注文書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center"/>
              <w:rPr/>
            </w:pPr>
            <w:r w:rsidDel="00000000" w:rsidR="00000000" w:rsidRPr="00000000">
              <w:rPr>
                <w:rtl w:val="0"/>
              </w:rPr>
              <w:t xml:space="preserve">発行</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highlight w:val="yellow"/>
              </w:rPr>
            </w:pPr>
            <w:r w:rsidDel="00000000" w:rsidR="00000000" w:rsidRPr="00000000">
              <w:rPr>
                <w:highlight w:val="yellow"/>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highlight w:val="yellow"/>
              </w:rPr>
            </w:pPr>
            <w:r w:rsidDel="00000000" w:rsidR="00000000" w:rsidRPr="00000000">
              <w:rPr>
                <w:highlight w:val="yellow"/>
                <w:rtl w:val="0"/>
              </w:rPr>
              <w:t xml:space="preserve">◯◯ワークフロー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請求書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center"/>
              <w:rPr/>
            </w:pPr>
            <w:r w:rsidDel="00000000" w:rsidR="00000000" w:rsidRPr="00000000">
              <w:rPr>
                <w:rtl w:val="0"/>
              </w:rPr>
              <w:t xml:space="preserve">受領</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highlight w:val="yellow"/>
              </w:rPr>
            </w:pPr>
            <w:r w:rsidDel="00000000" w:rsidR="00000000" w:rsidRPr="00000000">
              <w:rPr>
                <w:highlight w:val="yellow"/>
                <w:rtl w:val="0"/>
              </w:rPr>
              <w:t xml:space="preserve">paild請求書払い</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highlight w:val="yellow"/>
              </w:rPr>
            </w:pPr>
            <w:r w:rsidDel="00000000" w:rsidR="00000000" w:rsidRPr="00000000">
              <w:rPr>
                <w:highlight w:val="yellow"/>
                <w:rtl w:val="0"/>
              </w:rPr>
              <w:t xml:space="preserve">paild請求書払い</w:t>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80" w:hanging="360"/>
      </w:pPr>
      <w:rPr>
        <w:u w:val="none"/>
      </w:rPr>
    </w:lvl>
    <w:lvl w:ilvl="1">
      <w:start w:val="1"/>
      <w:numFmt w:val="decimal"/>
      <w:lvlText w:val="(%2)"/>
      <w:lvlJc w:val="left"/>
      <w:pPr>
        <w:ind w:left="1260" w:hanging="420"/>
      </w:pPr>
      <w:rPr>
        <w:u w:val="none"/>
      </w:rPr>
    </w:lvl>
    <w:lvl w:ilvl="2">
      <w:start w:val="1"/>
      <w:numFmt w:val="decimal"/>
      <w:lvlText w:val="%3"/>
      <w:lvlJc w:val="left"/>
      <w:pPr>
        <w:ind w:left="1680" w:hanging="420"/>
      </w:pPr>
      <w:rPr>
        <w:u w:val="none"/>
      </w:rPr>
    </w:lvl>
    <w:lvl w:ilvl="3">
      <w:start w:val="1"/>
      <w:numFmt w:val="decimal"/>
      <w:lvlText w:val="%4."/>
      <w:lvlJc w:val="left"/>
      <w:pPr>
        <w:ind w:left="2100" w:hanging="420"/>
      </w:pPr>
      <w:rPr>
        <w:u w:val="none"/>
      </w:rPr>
    </w:lvl>
    <w:lvl w:ilvl="4">
      <w:start w:val="1"/>
      <w:numFmt w:val="decimal"/>
      <w:lvlText w:val="(%5)"/>
      <w:lvlJc w:val="left"/>
      <w:pPr>
        <w:ind w:left="2520" w:hanging="420"/>
      </w:pPr>
      <w:rPr>
        <w:u w:val="none"/>
      </w:rPr>
    </w:lvl>
    <w:lvl w:ilvl="5">
      <w:start w:val="1"/>
      <w:numFmt w:val="decimal"/>
      <w:lvlText w:val="%6"/>
      <w:lvlJc w:val="left"/>
      <w:pPr>
        <w:ind w:left="2940" w:hanging="420"/>
      </w:pPr>
      <w:rPr>
        <w:u w:val="none"/>
      </w:rPr>
    </w:lvl>
    <w:lvl w:ilvl="6">
      <w:start w:val="1"/>
      <w:numFmt w:val="decimal"/>
      <w:lvlText w:val="%7."/>
      <w:lvlJc w:val="left"/>
      <w:pPr>
        <w:ind w:left="3360" w:hanging="420"/>
      </w:pPr>
      <w:rPr>
        <w:u w:val="none"/>
      </w:rPr>
    </w:lvl>
    <w:lvl w:ilvl="7">
      <w:start w:val="1"/>
      <w:numFmt w:val="decimal"/>
      <w:lvlText w:val="(%8)"/>
      <w:lvlJc w:val="left"/>
      <w:pPr>
        <w:ind w:left="3780" w:hanging="420"/>
      </w:pPr>
      <w:rPr>
        <w:u w:val="none"/>
      </w:rPr>
    </w:lvl>
    <w:lvl w:ilvl="8">
      <w:start w:val="1"/>
      <w:numFmt w:val="decimal"/>
      <w:lvlText w:val="%9"/>
      <w:lvlJc w:val="left"/>
      <w:pPr>
        <w:ind w:left="4200" w:hanging="4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B0914"/>
    <w:pPr>
      <w:widowControl w:val="0"/>
      <w:jc w:val="both"/>
    </w:pPr>
    <w:rPr>
      <w:rFonts w:ascii="Century" w:cs="Times New Roman" w:eastAsia="ＭＳ 明朝" w:hAnsi="Century"/>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291359"/>
    <w:pPr>
      <w:tabs>
        <w:tab w:val="center" w:pos="4252"/>
        <w:tab w:val="right" w:pos="8504"/>
      </w:tabs>
      <w:snapToGrid w:val="0"/>
    </w:pPr>
  </w:style>
  <w:style w:type="character" w:styleId="a4" w:customStyle="1">
    <w:name w:val="ヘッダー (文字)"/>
    <w:basedOn w:val="a0"/>
    <w:link w:val="a3"/>
    <w:uiPriority w:val="99"/>
    <w:rsid w:val="00291359"/>
    <w:rPr>
      <w:rFonts w:ascii="Century" w:cs="Times New Roman" w:eastAsia="ＭＳ 明朝" w:hAnsi="Century"/>
    </w:rPr>
  </w:style>
  <w:style w:type="paragraph" w:styleId="a5">
    <w:name w:val="footer"/>
    <w:basedOn w:val="a"/>
    <w:link w:val="a6"/>
    <w:uiPriority w:val="99"/>
    <w:unhideWhenUsed w:val="1"/>
    <w:rsid w:val="00291359"/>
    <w:pPr>
      <w:tabs>
        <w:tab w:val="center" w:pos="4252"/>
        <w:tab w:val="right" w:pos="8504"/>
      </w:tabs>
      <w:snapToGrid w:val="0"/>
    </w:pPr>
  </w:style>
  <w:style w:type="character" w:styleId="a6" w:customStyle="1">
    <w:name w:val="フッター (文字)"/>
    <w:basedOn w:val="a0"/>
    <w:link w:val="a5"/>
    <w:uiPriority w:val="99"/>
    <w:rsid w:val="00291359"/>
    <w:rPr>
      <w:rFonts w:ascii="Century" w:cs="Times New Roman" w:eastAsia="ＭＳ 明朝" w:hAnsi="Centur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ta.go.jp/law/joho-zeikaishaku/sonota/jirei/0021006-03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KlF/gBuQmRax4jJaJz83tqqMg==">CgMxLjAyCGguZ2pkZ3hzMg5oLjNuNzRjMGdmazl4OTIOaC4yaTRsczlxcWNldmsyDmguZGtyemZuOGpqYXhoMg1oLnA5cjV2amRzYXRtMg5oLnVpcWQya21iYTdwZTgAciExbG5vUTUwdWxka1RYS2o2MnhiYXBYRVktVE5WRDk3N08=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2021-07-12T08:32:00Z</dcterms:created>
  <dc:creator>000001100000000@nta.go.jp</dc:creator>
</cp:coreProperties>
</file>